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99E" w:rsidRDefault="0096799E" w:rsidP="0096799E">
      <w:pPr>
        <w:jc w:val="center"/>
      </w:pPr>
    </w:p>
    <w:p w:rsidR="0096799E" w:rsidRPr="0096799E" w:rsidRDefault="0096799E" w:rsidP="009679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ПОСТУПЛЕНИЯ ОБРАЩЕНИЙ ГРАЖДАН В УПРАВЛЕНИЕ ЛЕСНОГО ХОЗЯЙСТВА ВОРОНЕЖСКОЙ ОБЛАСТИ В 2021-м ГОДУ</w:t>
      </w:r>
    </w:p>
    <w:p w:rsidR="0096799E" w:rsidRDefault="0096799E" w:rsidP="0096799E">
      <w:pPr>
        <w:jc w:val="center"/>
      </w:pPr>
    </w:p>
    <w:p w:rsidR="0096799E" w:rsidRDefault="0021757D" w:rsidP="0096799E">
      <w:pPr>
        <w:jc w:val="center"/>
      </w:pPr>
      <w:r w:rsidRPr="0021757D">
        <w:drawing>
          <wp:inline distT="0" distB="0" distL="0" distR="0" wp14:anchorId="73F21729" wp14:editId="010C5BD6">
            <wp:extent cx="3710940" cy="3345180"/>
            <wp:effectExtent l="0" t="0" r="3810" b="76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1757D" w:rsidRPr="00B9599D" w:rsidRDefault="0021757D" w:rsidP="0096799E">
      <w:pPr>
        <w:jc w:val="both"/>
        <w:rPr>
          <w:rFonts w:ascii="Arial" w:hAnsi="Arial" w:cs="Arial"/>
          <w:sz w:val="28"/>
          <w:szCs w:val="28"/>
        </w:rPr>
      </w:pPr>
      <w:r w:rsidRPr="00B9599D">
        <w:rPr>
          <w:rFonts w:ascii="Arial" w:hAnsi="Arial" w:cs="Arial"/>
          <w:sz w:val="28"/>
          <w:szCs w:val="28"/>
        </w:rPr>
        <w:t xml:space="preserve">Всего в 2021 году в управление лесного хозяйства поступило 269 обращений граждан. Пик активности – 95 обращений (35%) пришелся на 2-й квартал года, что объясняется началом пожароопасного сезона и возникновением социальной напряженности в связи с вырубкой березовой аллеи в </w:t>
      </w:r>
      <w:proofErr w:type="spellStart"/>
      <w:proofErr w:type="gramStart"/>
      <w:r w:rsidRPr="00B9599D">
        <w:rPr>
          <w:rFonts w:ascii="Arial" w:hAnsi="Arial" w:cs="Arial"/>
          <w:sz w:val="28"/>
          <w:szCs w:val="28"/>
        </w:rPr>
        <w:t>пос.Отрожка</w:t>
      </w:r>
      <w:proofErr w:type="spellEnd"/>
      <w:proofErr w:type="gramEnd"/>
      <w:r w:rsidRPr="00B9599D">
        <w:rPr>
          <w:rFonts w:ascii="Arial" w:hAnsi="Arial" w:cs="Arial"/>
          <w:sz w:val="28"/>
          <w:szCs w:val="28"/>
        </w:rPr>
        <w:t xml:space="preserve"> под строительство линейного объекта. В 1-м квартале – минимум (18%), что связано с приостановкой лесохозяйственной деятельности в зимний период</w:t>
      </w:r>
    </w:p>
    <w:p w:rsidR="0021757D" w:rsidRDefault="005633F8" w:rsidP="0096799E">
      <w:pPr>
        <w:jc w:val="center"/>
      </w:pPr>
      <w:r w:rsidRPr="005633F8">
        <w:drawing>
          <wp:inline distT="0" distB="0" distL="0" distR="0" wp14:anchorId="68370F74" wp14:editId="1CC2F0E3">
            <wp:extent cx="4251960" cy="2369820"/>
            <wp:effectExtent l="0" t="0" r="15240" b="1143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6799E" w:rsidRPr="00B9599D" w:rsidRDefault="0096799E" w:rsidP="0096799E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</w:r>
      <w:r w:rsidRPr="00B9599D">
        <w:rPr>
          <w:rFonts w:ascii="Arial" w:hAnsi="Arial" w:cs="Arial"/>
          <w:sz w:val="28"/>
          <w:szCs w:val="28"/>
        </w:rPr>
        <w:t xml:space="preserve">По сравнению с прошлым годом количество обращений, поступивших в управление лесного хозяйства, уменьшилось на 7%. В </w:t>
      </w:r>
      <w:r w:rsidRPr="00B9599D">
        <w:rPr>
          <w:rFonts w:ascii="Arial" w:hAnsi="Arial" w:cs="Arial"/>
          <w:sz w:val="28"/>
          <w:szCs w:val="28"/>
        </w:rPr>
        <w:lastRenderedPageBreak/>
        <w:t>целом сохраняется тенденция спадов и пиков активности граждан по кварталам года (2-3-й кварталы – максимум).</w:t>
      </w:r>
    </w:p>
    <w:p w:rsidR="0096799E" w:rsidRDefault="005633F8" w:rsidP="0096799E">
      <w:pPr>
        <w:jc w:val="both"/>
        <w:rPr>
          <w:sz w:val="28"/>
          <w:szCs w:val="28"/>
        </w:rPr>
      </w:pPr>
      <w:r w:rsidRPr="005633F8">
        <w:rPr>
          <w:sz w:val="28"/>
          <w:szCs w:val="28"/>
        </w:rPr>
        <w:drawing>
          <wp:inline distT="0" distB="0" distL="0" distR="0" wp14:anchorId="6EEF98A2" wp14:editId="073A644E">
            <wp:extent cx="5940425" cy="4174490"/>
            <wp:effectExtent l="0" t="0" r="3175" b="1651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633F8" w:rsidRPr="0096799E" w:rsidRDefault="005633F8" w:rsidP="009679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70% поступивших </w:t>
      </w:r>
      <w:r w:rsidR="00B9599D">
        <w:rPr>
          <w:sz w:val="28"/>
          <w:szCs w:val="28"/>
        </w:rPr>
        <w:t xml:space="preserve">в 2021-м году </w:t>
      </w:r>
      <w:r>
        <w:rPr>
          <w:sz w:val="28"/>
          <w:szCs w:val="28"/>
        </w:rPr>
        <w:t>обращений граждан даны разъяснения, 18% направлены по компетенции в другие органы власти и ОМСУ. Без ответа оставлены обращения – благодарности за хорошую работу. Поддержаны 9% обращений,</w:t>
      </w:r>
      <w:bookmarkStart w:id="0" w:name="_GoBack"/>
      <w:bookmarkEnd w:id="0"/>
      <w:r>
        <w:rPr>
          <w:sz w:val="28"/>
          <w:szCs w:val="28"/>
        </w:rPr>
        <w:t xml:space="preserve"> материалы по выявленным фактам нарушения лесного законодательства переданы в органы МВД</w:t>
      </w:r>
      <w:r w:rsidR="00B9599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sectPr w:rsidR="005633F8" w:rsidRPr="00967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57D"/>
    <w:rsid w:val="00054DF3"/>
    <w:rsid w:val="00061817"/>
    <w:rsid w:val="001C6E24"/>
    <w:rsid w:val="0021757D"/>
    <w:rsid w:val="00367007"/>
    <w:rsid w:val="004F007C"/>
    <w:rsid w:val="005633F8"/>
    <w:rsid w:val="00643CDB"/>
    <w:rsid w:val="00687630"/>
    <w:rsid w:val="00932B82"/>
    <w:rsid w:val="0096799E"/>
    <w:rsid w:val="00A92EFB"/>
    <w:rsid w:val="00B9599D"/>
    <w:rsid w:val="00E10084"/>
    <w:rsid w:val="00FD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9495"/>
  <w15:chartTrackingRefBased/>
  <w15:docId w15:val="{748FD9ED-DE71-4E3D-B0D5-E3290403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 dirty="0">
                <a:solidFill>
                  <a:sysClr val="windowText" lastClr="000000"/>
                </a:solidFill>
              </a:rPr>
              <a:t>Поступило письменных обращений и принято на личном </a:t>
            </a:r>
            <a:r>
              <a:rPr lang="ru-RU" sz="1400" dirty="0" smtClean="0">
                <a:solidFill>
                  <a:sysClr val="windowText" lastClr="000000"/>
                </a:solidFill>
              </a:rPr>
              <a:t>приеме </a:t>
            </a:r>
          </a:p>
          <a:p>
            <a:pPr>
              <a:defRPr sz="1400">
                <a:solidFill>
                  <a:sysClr val="windowText" lastClr="000000"/>
                </a:solidFill>
              </a:defRPr>
            </a:pPr>
            <a:r>
              <a:rPr lang="ru-RU" sz="1400" dirty="0" smtClean="0">
                <a:solidFill>
                  <a:sysClr val="windowText" lastClr="000000"/>
                </a:solidFill>
              </a:rPr>
              <a:t>в 2021-м году</a:t>
            </a:r>
            <a:endParaRPr lang="ru-RU" sz="1400" dirty="0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Поступило письменных обращений и принято на личном приеме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F89-42E8-B5E1-4D02F822F48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F89-42E8-B5E1-4D02F822F48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F89-42E8-B5E1-4D02F822F48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F89-42E8-B5E1-4D02F822F48F}"/>
              </c:ext>
            </c:extLst>
          </c:dPt>
          <c:dLbls>
            <c:dLbl>
              <c:idx val="1"/>
              <c:layout>
                <c:manualLayout>
                  <c:x val="-0.11694368542741192"/>
                  <c:y val="-8.855128871988958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F89-42E8-B5E1-4D02F822F4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49</c:v>
                </c:pt>
                <c:pt idx="1">
                  <c:v>95</c:v>
                </c:pt>
                <c:pt idx="2">
                  <c:v>69</c:v>
                </c:pt>
                <c:pt idx="3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F89-42E8-B5E1-4D02F822F48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2441214355392436"/>
          <c:y val="0.418623377722946"/>
          <c:w val="0.23695922707937367"/>
          <c:h val="0.2572251049264003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6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60" dirty="0" smtClean="0"/>
              <a:t>Анализ поступления обращений граждан в 2020-2021 </a:t>
            </a:r>
            <a:r>
              <a:rPr lang="ru-RU" sz="1460" dirty="0" err="1" smtClean="0"/>
              <a:t>г.г</a:t>
            </a:r>
            <a:r>
              <a:rPr lang="ru-RU" sz="1460" dirty="0" smtClean="0"/>
              <a:t>.</a:t>
            </a:r>
            <a:endParaRPr lang="ru-RU" sz="1460" dirty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6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2185162401574803E-2"/>
          <c:y val="0.10320711717475903"/>
          <c:w val="0.92687733759842517"/>
          <c:h val="0.7674867269016530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1-й квартал</c:v>
                </c:pt>
                <c:pt idx="1">
                  <c:v>2-й квартал</c:v>
                </c:pt>
                <c:pt idx="2">
                  <c:v>3-й квартал</c:v>
                </c:pt>
                <c:pt idx="3">
                  <c:v>4-й квартал</c:v>
                </c:pt>
                <c:pt idx="4">
                  <c:v>за 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32</c:v>
                </c:pt>
                <c:pt idx="1">
                  <c:v>66</c:v>
                </c:pt>
                <c:pt idx="2">
                  <c:v>93</c:v>
                </c:pt>
                <c:pt idx="3">
                  <c:v>99</c:v>
                </c:pt>
                <c:pt idx="4">
                  <c:v>287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EC-4DDD-B9CF-EDE8F760AF3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1-й квартал</c:v>
                </c:pt>
                <c:pt idx="1">
                  <c:v>2-й квартал</c:v>
                </c:pt>
                <c:pt idx="2">
                  <c:v>3-й квартал</c:v>
                </c:pt>
                <c:pt idx="3">
                  <c:v>4-й квартал</c:v>
                </c:pt>
                <c:pt idx="4">
                  <c:v>за год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49</c:v>
                </c:pt>
                <c:pt idx="1">
                  <c:v>95</c:v>
                </c:pt>
                <c:pt idx="2">
                  <c:v>69</c:v>
                </c:pt>
                <c:pt idx="3">
                  <c:v>56</c:v>
                </c:pt>
                <c:pt idx="4">
                  <c:v>269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8EC-4DDD-B9CF-EDE8F760AF3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1-й квартал</c:v>
                </c:pt>
                <c:pt idx="1">
                  <c:v>2-й квартал</c:v>
                </c:pt>
                <c:pt idx="2">
                  <c:v>3-й квартал</c:v>
                </c:pt>
                <c:pt idx="3">
                  <c:v>4-й квартал</c:v>
                </c:pt>
                <c:pt idx="4">
                  <c:v>за год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98EC-4DDD-B9CF-EDE8F760AF3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38063976"/>
        <c:axId val="245937096"/>
      </c:barChart>
      <c:catAx>
        <c:axId val="438063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5937096"/>
        <c:crosses val="autoZero"/>
        <c:auto val="1"/>
        <c:lblAlgn val="ctr"/>
        <c:lblOffset val="100"/>
        <c:noMultiLvlLbl val="0"/>
      </c:catAx>
      <c:valAx>
        <c:axId val="24593709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438063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32579847440944881"/>
          <c:y val="0.42635504267008839"/>
          <c:w val="0.42515746073587019"/>
          <c:h val="8.25078437118757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Анализ результатов рассмотрения письменных обращений в 2021-м году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26345410925196849"/>
          <c:y val="0.26357810878579546"/>
          <c:w val="0.42934190452755905"/>
          <c:h val="0.6440128171744083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1F9-44FA-B088-C83DD46516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1F9-44FA-B088-C83DD465165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1F9-44FA-B088-C83DD465165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1F9-44FA-B088-C83DD465165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1F9-44FA-B088-C83DD465165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A1F9-44FA-B088-C83DD4651657}"/>
              </c:ext>
            </c:extLst>
          </c:dPt>
          <c:dLbls>
            <c:dLbl>
              <c:idx val="0"/>
              <c:layout>
                <c:manualLayout>
                  <c:x val="9.2187500000000006E-2"/>
                  <c:y val="5.8593746395561863E-2"/>
                </c:manualLayout>
              </c:layout>
              <c:spPr>
                <a:solidFill>
                  <a:prstClr val="white"/>
                </a:solidFill>
                <a:ln w="3175" cap="flat" cmpd="sng" algn="ctr">
                  <a:solidFill>
                    <a:schemeClr val="tx1"/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97" b="1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121230"/>
                        <a:gd name="adj2" fmla="val 38945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1-A1F9-44FA-B088-C83DD4651657}"/>
                </c:ext>
              </c:extLst>
            </c:dLbl>
            <c:dLbl>
              <c:idx val="1"/>
              <c:layout>
                <c:manualLayout>
                  <c:x val="6.7187499999999886E-2"/>
                  <c:y val="-6.3281246107206812E-2"/>
                </c:manualLayout>
              </c:layout>
              <c:spPr>
                <a:solidFill>
                  <a:prstClr val="white"/>
                </a:solidFill>
                <a:ln w="3175" cap="flat" cmpd="sng" algn="ctr">
                  <a:solidFill>
                    <a:schemeClr val="tx1"/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97" b="1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117919"/>
                        <a:gd name="adj2" fmla="val -131436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3-A1F9-44FA-B088-C83DD4651657}"/>
                </c:ext>
              </c:extLst>
            </c:dLbl>
            <c:dLbl>
              <c:idx val="2"/>
              <c:layout>
                <c:manualLayout>
                  <c:x val="-3.4375000000000003E-2"/>
                  <c:y val="0.11484374293530115"/>
                </c:manualLayout>
              </c:layout>
              <c:tx>
                <c:rich>
                  <a:bodyPr/>
                  <a:lstStyle/>
                  <a:p>
                    <a:fld id="{FA91CC9B-719A-4627-A452-33826C08030F}" type="CATEGORYNAME">
                      <a:rPr lang="ru-RU"/>
                      <a:pPr/>
                      <a:t>[ИМЯ КАТЕГОРИИ]</a:t>
                    </a:fld>
                    <a:r>
                      <a:rPr lang="ru-RU" baseline="0" dirty="0"/>
                      <a:t>
</a:t>
                    </a:r>
                    <a:r>
                      <a:rPr lang="ru-RU" baseline="0" dirty="0" smtClean="0"/>
                      <a:t>0,05%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A1F9-44FA-B088-C83DD4651657}"/>
                </c:ext>
              </c:extLst>
            </c:dLbl>
            <c:dLbl>
              <c:idx val="3"/>
              <c:layout>
                <c:manualLayout>
                  <c:x val="-6.7187499999999997E-2"/>
                  <c:y val="-2.3437498558224745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1F9-44FA-B088-C83DD4651657}"/>
                </c:ext>
              </c:extLst>
            </c:dLbl>
            <c:dLbl>
              <c:idx val="4"/>
              <c:layout>
                <c:manualLayout>
                  <c:x val="-6.0937559181371705E-2"/>
                  <c:y val="-0.140082740646162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1F9-44FA-B088-C83DD4651657}"/>
                </c:ext>
              </c:extLst>
            </c:dLbl>
            <c:dLbl>
              <c:idx val="5"/>
              <c:layout>
                <c:manualLayout>
                  <c:x val="4.7033671833244257E-2"/>
                  <c:y val="-1.2169151201703709E-2"/>
                </c:manualLayout>
              </c:layout>
              <c:spPr>
                <a:solidFill>
                  <a:prstClr val="white"/>
                </a:solidFill>
                <a:ln w="3175" cap="flat" cmpd="sng" algn="ctr">
                  <a:solidFill>
                    <a:prstClr val="black"/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97" b="1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85325"/>
                        <a:gd name="adj2" fmla="val 129608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B-A1F9-44FA-B088-C83DD4651657}"/>
                </c:ext>
              </c:extLst>
            </c:dLbl>
            <c:spPr>
              <a:solidFill>
                <a:prstClr val="white"/>
              </a:solidFill>
              <a:ln w="3175">
                <a:solidFill>
                  <a:prstClr val="black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197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Лист1!$A$2:$A$7</c:f>
              <c:strCache>
                <c:ptCount val="6"/>
                <c:pt idx="0">
                  <c:v>Поддержано</c:v>
                </c:pt>
                <c:pt idx="1">
                  <c:v>Разъяснено</c:v>
                </c:pt>
                <c:pt idx="2">
                  <c:v>не поддержано</c:v>
                </c:pt>
                <c:pt idx="3">
                  <c:v>Дан ответ автору</c:v>
                </c:pt>
                <c:pt idx="4">
                  <c:v>Оставлено без ответа автору</c:v>
                </c:pt>
                <c:pt idx="5">
                  <c:v>Направлено по компетенции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23</c:v>
                </c:pt>
                <c:pt idx="1">
                  <c:v>185</c:v>
                </c:pt>
                <c:pt idx="2">
                  <c:v>1</c:v>
                </c:pt>
                <c:pt idx="3">
                  <c:v>2</c:v>
                </c:pt>
                <c:pt idx="4">
                  <c:v>6</c:v>
                </c:pt>
                <c:pt idx="5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A1F9-44FA-B088-C83DD46516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Бобряшова Анна</dc:creator>
  <cp:keywords/>
  <dc:description/>
  <cp:lastModifiedBy>Бобряшова Анна</cp:lastModifiedBy>
  <cp:revision>1</cp:revision>
  <dcterms:created xsi:type="dcterms:W3CDTF">2022-01-12T09:38:00Z</dcterms:created>
  <dcterms:modified xsi:type="dcterms:W3CDTF">2022-01-12T11:05:00Z</dcterms:modified>
</cp:coreProperties>
</file>